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EE4" w:rsidRDefault="008E1EE4" w:rsidP="008E1EE4">
      <w:pPr>
        <w:pStyle w:val="Heading2"/>
        <w:ind w:left="720"/>
        <w:rPr>
          <w:rFonts w:cs="Times New Roman"/>
          <w:sz w:val="24"/>
          <w:szCs w:val="24"/>
        </w:rPr>
      </w:pPr>
      <w:bookmarkStart w:id="0" w:name="_GoBack"/>
      <w:bookmarkEnd w:id="0"/>
      <w:r>
        <w:rPr>
          <w:rFonts w:cs="Times New Roman"/>
          <w:sz w:val="24"/>
          <w:szCs w:val="24"/>
        </w:rPr>
        <w:t>KINH TẾ HỌC TÂN CỔ ĐIỂN</w:t>
      </w:r>
    </w:p>
    <w:p w:rsidR="008E1EE4" w:rsidRDefault="008E1EE4" w:rsidP="008E1EE4">
      <w:pPr>
        <w:spacing w:before="120" w:after="120" w:line="312" w:lineRule="auto"/>
        <w:ind w:firstLine="709"/>
        <w:jc w:val="both"/>
        <w:rPr>
          <w:sz w:val="26"/>
          <w:szCs w:val="26"/>
        </w:rPr>
      </w:pPr>
      <w:r>
        <w:rPr>
          <w:sz w:val="26"/>
          <w:szCs w:val="26"/>
        </w:rPr>
        <w:t xml:space="preserve">Vào giữa thế kỷ XIX, các nhà kinh tế học nói tiếng Anh thường chia sẻ quan điểm về lý thuyết giá trị và lý thuyết phân bổ. Ví dụ, giá trị của một giạ lúa mì phụ thuộc vào chi phí liên quan đến việc sản xuất ra khối lượng lúa mì đó. Đầu ra hoặc sản phẩm của một nền kinh tế được phân chia hoặc phân phối cho các nhóm xã hội khác nhau tương ứng với chi phí mà các nhóm này bỏ ra trong quá trình sản xuất. Quan điểm trên là "Lý thuyết Cổ điển" do Adam Smith, David Ricardo, Thomas Robert Malthus, JohnStuart Mill, và Karl Marx phát triển. </w:t>
      </w:r>
    </w:p>
    <w:p w:rsidR="008E1EE4" w:rsidRDefault="008E1EE4" w:rsidP="008E1EE4">
      <w:pPr>
        <w:spacing w:before="120" w:after="120" w:line="312" w:lineRule="auto"/>
        <w:ind w:firstLine="709"/>
        <w:jc w:val="both"/>
        <w:rPr>
          <w:sz w:val="26"/>
          <w:szCs w:val="26"/>
        </w:rPr>
      </w:pPr>
      <w:r>
        <w:rPr>
          <w:sz w:val="26"/>
          <w:szCs w:val="26"/>
        </w:rPr>
        <w:t xml:space="preserve">Tuy nhiên, có những khó khăn trong cách tiếp cận này. Một trong số đó là giá cả trên thị trường đôi khi không phản ánh "giá trị" được xác định, vì người tiêu dùng thường sẵn sàng trả nhiều hơn giá trị thật của hàng hóa đó. Quan điểm cho rằng giá trị là một thuộc tính vốn có trong một vật theo các lý thuyết "của cải" cổ điển đã dần dần nhường chỗ cho quan điểm giá trị được xác định trong mối tương quan với quan hệ giữa vật và người sở hữu vật đó. Trong cùng một thời điểm (những năm 1870 và 1880), các nhà kinh tế ở các vùng khác nhau đã bắt đầu dựa vào mối quan hệ giữa chi phí sản xuất và "các yếu tố chủ quan", sau đó được gọi là "cung" và "cầu". Đây được coi là Cuộc cách mạng cận biên trong kinh tế học, và lý thuyết tổng quát phát triển từ những ý tưởng này được gọi là kinh tế học tân cổ điển (KTHTCĐ). Người đầu tiên sử dụng thuật ngữ "kinh tế học tân cổ điển" là nhà kinh tế học người Mỹ Thorstein Veblen. </w:t>
      </w:r>
    </w:p>
    <w:p w:rsidR="008E1EE4" w:rsidRDefault="008E1EE4" w:rsidP="008E1EE4">
      <w:pPr>
        <w:spacing w:before="120" w:after="120" w:line="312" w:lineRule="auto"/>
        <w:ind w:firstLine="709"/>
        <w:jc w:val="both"/>
        <w:rPr>
          <w:sz w:val="26"/>
          <w:szCs w:val="26"/>
        </w:rPr>
      </w:pPr>
      <w:r>
        <w:rPr>
          <w:sz w:val="26"/>
          <w:szCs w:val="26"/>
        </w:rPr>
        <w:t>Tư tưởng kinh tế chính:</w:t>
      </w:r>
    </w:p>
    <w:p w:rsidR="008E1EE4" w:rsidRDefault="008E1EE4" w:rsidP="008E1EE4">
      <w:pPr>
        <w:spacing w:before="120" w:after="120" w:line="312" w:lineRule="auto"/>
        <w:ind w:firstLine="709"/>
        <w:jc w:val="both"/>
        <w:rPr>
          <w:sz w:val="26"/>
          <w:szCs w:val="26"/>
        </w:rPr>
      </w:pPr>
      <w:r>
        <w:rPr>
          <w:sz w:val="26"/>
          <w:szCs w:val="26"/>
        </w:rPr>
        <w:t xml:space="preserve">Khung khổ KTHTCĐ có thể được tóm tắt như sau: người tiêu dùng cố gắng tối đa hóa lợi ích của họ từ việc mua hàng bằng cách tăng số lượng hàng hóa mua vào cho đến khi những gì họ thu được từ một đơn vị mua thêm bằng với chi phí họ bỏ ra để đạt được nó. Bằng cách này, họ tối đa hóa "độ thỏa dụng" - sự hài lòng liên quan đến việc tiêu thụ hàng hoá và dịch vụ. Tương tự như vậy, các cá nhân cung cấp sức lao động cho các doanh nghiệp muốn sử dụng chúng bằng cách cân bằng lợi ích từ việc cung cấp đơn vị biên của dịch vụ lao động (tiền lương họ sẽ nhận được) với sự phi thỏa dụng của lao động - mất đi thời gian giải trí. Việc các cá nhân lựa chọn tại biên đã dẫn đến lý thuyết cầu về hàng hoá và lý thuyết cung cho các yếu tố sản xuất. </w:t>
      </w:r>
    </w:p>
    <w:p w:rsidR="008E1EE4" w:rsidRDefault="008E1EE4" w:rsidP="008E1EE4">
      <w:pPr>
        <w:spacing w:before="120" w:after="120" w:line="312" w:lineRule="auto"/>
        <w:ind w:firstLine="709"/>
        <w:jc w:val="both"/>
        <w:rPr>
          <w:sz w:val="26"/>
          <w:szCs w:val="26"/>
        </w:rPr>
      </w:pPr>
      <w:r>
        <w:rPr>
          <w:sz w:val="26"/>
          <w:szCs w:val="26"/>
        </w:rPr>
        <w:t xml:space="preserve">Tương tự như vậy, các nhà sản xuất cố gắng tối đa hóa lợi nhuận bằng việc sản xuất đúng số đơn vị hàng hóa mà tại đó chi phí sản xuất của đơn vị tăng thêm hoặc đơn vị cận </w:t>
      </w:r>
      <w:r>
        <w:rPr>
          <w:sz w:val="26"/>
          <w:szCs w:val="26"/>
        </w:rPr>
        <w:lastRenderedPageBreak/>
        <w:t xml:space="preserve">biên bằng với doanh thu mà nó tạo ra. Các doanh nghiệp cũng thuê đủ số lượng người lao động mà tại đó chi phí thuê bổ sung cân bằng với giá trị sản lượng mà người lao động bổ sung sẽ sản xuất. </w:t>
      </w:r>
    </w:p>
    <w:p w:rsidR="008E1EE4" w:rsidRDefault="008E1EE4" w:rsidP="008E1EE4">
      <w:pPr>
        <w:spacing w:before="120" w:after="120" w:line="312" w:lineRule="auto"/>
        <w:ind w:firstLine="709"/>
        <w:jc w:val="both"/>
        <w:rPr>
          <w:sz w:val="26"/>
          <w:szCs w:val="26"/>
        </w:rPr>
      </w:pPr>
      <w:r>
        <w:rPr>
          <w:sz w:val="26"/>
          <w:szCs w:val="26"/>
        </w:rPr>
        <w:t xml:space="preserve">Do đó, tầm nhìn của KTHTCĐ có liên quan đến các "tác nhân" kinh tế, có thể là các hộ gia đình hoặc các doanh nghiệp, tối ưu hóa (làm tốt như họ có thể), tùy thuộc vào tất cả các ràng buộc có liên quan. Giá trị được liên kết với những mong muốn không giới hạn và xung đột với những ràng buộc, hoặc sự khan hiếm. Những căng thẳng, những vấn đề về việc đưa ra quyết định của các tác nhân được thực hiện trên thị trường. Giá cả là những tín hiệu cho các hộ gia đình và doanh nghiệp biết rằng những xung đột trong mong muốn của họ có thể được hòa giải hay không. </w:t>
      </w:r>
    </w:p>
    <w:p w:rsidR="008E1EE4" w:rsidRDefault="008E1EE4" w:rsidP="008E1EE4">
      <w:pPr>
        <w:spacing w:before="120" w:after="120" w:line="312" w:lineRule="auto"/>
        <w:ind w:firstLine="709"/>
        <w:jc w:val="both"/>
        <w:rPr>
          <w:sz w:val="26"/>
          <w:szCs w:val="26"/>
        </w:rPr>
      </w:pPr>
      <w:r>
        <w:rPr>
          <w:sz w:val="26"/>
          <w:szCs w:val="26"/>
        </w:rPr>
        <w:t xml:space="preserve">Ví dụ, tại một số mức giá của một chiếc xe ô tô mới, nhiều khách hàng khác nhau cùng muốn mua chiếc xe đó. Nhưng các nhà sản xuất có thể không muốn sản xuất nhiều xe ô tô như người tiêu dùng mong muốn. Sự thất vọng của những khách hàng này có thể khiến chính họ đồng ý "tăng giá" xe, loại bỏ một số người mua tiềm năng không muốn trả thêm và khuyến khích một số nhà sản xuất cận biên. Khi giá cả thay đổi, sự mất cân bằng giữa các lệnh mua và lệnh bán sẽ giảm. Đây là cách thức tối ưu hóa trong điều kiện ràng buộc và sự phụ thuộc thị trường dẫn đến sự cân bằng kinh tế. Người ta gọi là tầm nhìn tân cổ điển. </w:t>
      </w:r>
    </w:p>
    <w:p w:rsidR="008E1EE4" w:rsidRDefault="008E1EE4" w:rsidP="008E1EE4">
      <w:pPr>
        <w:spacing w:before="120" w:after="120" w:line="312" w:lineRule="auto"/>
        <w:ind w:firstLine="709"/>
        <w:jc w:val="both"/>
        <w:rPr>
          <w:sz w:val="26"/>
          <w:szCs w:val="26"/>
        </w:rPr>
      </w:pPr>
      <w:r>
        <w:rPr>
          <w:sz w:val="26"/>
          <w:szCs w:val="26"/>
        </w:rPr>
        <w:t xml:space="preserve">KTHTCĐ được coi là một lý thuyết toàn diện - tập hợp các quy tắc ngầm để xây dựng các lý thuyết kinh tế thoả đáng. Các giả định cơ bản của KTHTCĐ không mang tính chất mở để thảo luận và luôn được coi là những hiểu biết chung của các nhà KTHTCĐ hoặc các nhà kinh tế tự do không theo trường phái nào. Những giả định cơ bản này bao gồm: </w:t>
      </w:r>
    </w:p>
    <w:p w:rsidR="008E1EE4" w:rsidRDefault="008E1EE4" w:rsidP="008E1EE4">
      <w:pPr>
        <w:spacing w:before="120" w:after="120" w:line="312" w:lineRule="auto"/>
        <w:ind w:firstLine="709"/>
        <w:jc w:val="both"/>
        <w:rPr>
          <w:sz w:val="26"/>
          <w:szCs w:val="26"/>
        </w:rPr>
      </w:pPr>
      <w:r>
        <w:rPr>
          <w:sz w:val="26"/>
          <w:szCs w:val="26"/>
        </w:rPr>
        <w:t xml:space="preserve">1) Người có sự ưu tiên duy lý giữa các kết quả. 2). Cá nhân tối đa hóa độ thỏa dụng và các doanh nghiệp tối đa hóa lợi nhuận. 3). Mọi người hành động độc lập trên cơ sở thông tin đầy đủ và có liên quan. </w:t>
      </w:r>
    </w:p>
    <w:p w:rsidR="008E1EE4" w:rsidRDefault="008E1EE4" w:rsidP="008E1EE4">
      <w:pPr>
        <w:spacing w:before="120" w:after="120" w:line="312" w:lineRule="auto"/>
        <w:ind w:firstLine="709"/>
        <w:jc w:val="both"/>
        <w:rPr>
          <w:sz w:val="26"/>
          <w:szCs w:val="26"/>
        </w:rPr>
      </w:pPr>
      <w:r>
        <w:rPr>
          <w:sz w:val="26"/>
          <w:szCs w:val="26"/>
        </w:rPr>
        <w:t xml:space="preserve">Các lý thuyết dựa trên những giả định này hoặc được dẫn hướng bởi những giả định này đều được coi là các lý thuyết tân cổ điển. </w:t>
      </w:r>
    </w:p>
    <w:p w:rsidR="008E1EE4" w:rsidRDefault="008E1EE4" w:rsidP="008E1EE4">
      <w:pPr>
        <w:spacing w:before="120" w:after="120" w:line="312" w:lineRule="auto"/>
        <w:ind w:firstLine="709"/>
        <w:jc w:val="both"/>
        <w:rPr>
          <w:sz w:val="26"/>
          <w:szCs w:val="26"/>
        </w:rPr>
      </w:pPr>
      <w:r>
        <w:rPr>
          <w:sz w:val="26"/>
          <w:szCs w:val="26"/>
        </w:rPr>
        <w:t xml:space="preserve">Do đó, có thể nói đây là một lý thuyết tân cổ điển về lợi nhuận, việc làm, tăng trưởng, hoặc tiền bạc. Và có thể tạo ra các mối quan hệ sản xuất tân cổ điển giữa đầu vào và đầu ra, hoặc các lý thuyết tân cổ điển về hôn nhân, ly hôn và khoảng cách sinh đẻ. Khi xem xét </w:t>
      </w:r>
      <w:r>
        <w:rPr>
          <w:sz w:val="26"/>
          <w:szCs w:val="26"/>
        </w:rPr>
        <w:lastRenderedPageBreak/>
        <w:t xml:space="preserve">ví dụ về việc xa thải nhân viên cho thấy, lý thuyết giả định rằng quyết định sa thải thêm một nhân viên và các chi phí liên quan đến hành động đó của một doanh nghiệp dựa trên sự cân bằng giữa lợi ích của việc sa thải được coi là một lý thuyết tân cổ điển. Nếu một lý thuyết giải thích quyết định sa thải nhân viên là do sự thay đổi trong thị hiếu của nhà quản lý đối với nhân viên với các đặc tính cụ thể, lý thuyết đó sẽ không phải là tân cổ điển. </w:t>
      </w:r>
    </w:p>
    <w:p w:rsidR="008E1EE4" w:rsidRDefault="008E1EE4" w:rsidP="008E1EE4">
      <w:pPr>
        <w:spacing w:before="120" w:after="120" w:line="312" w:lineRule="auto"/>
        <w:ind w:firstLine="709"/>
        <w:jc w:val="both"/>
        <w:rPr>
          <w:sz w:val="26"/>
          <w:szCs w:val="26"/>
        </w:rPr>
      </w:pPr>
      <w:r>
        <w:rPr>
          <w:sz w:val="26"/>
          <w:szCs w:val="26"/>
        </w:rPr>
        <w:t xml:space="preserve">Những lý thuyết nào có thể tương phản với KTHTCĐ? Một số người cho rằng có nhiều trường phái tư tưởng trong kinh tế học hiện nay. Những trường phái Kinh tế học (tân) Mác xít, kinh tế học (tân) Áo, kinh tế học hậu Keyne, hoặc kinh tế học (tân) thể chế được coi như là các khuôn khổ lý thuyết thay thế để xây dựng lý thuyết kinh tế. Tất nhiên, cộng đồng và các chuyên san đã góp phần truyền bá tư tưởng liên quan đến những quan điểm này. Một số trường phái đã có những hiểu biết sâu sắc và các nhà KTHTCĐ đã học hỏi được nhiều từ họ. Ví dụ, các nhà KTHTCĐ đã tiếp thu những hiểu biết của trường phái Áo về tinh thần kinh doanh. Tuy nhiên, nếu các trường phái này không chấp nhận những luận điểm cốt lõi của KTHTCĐ - ví dụ khi trường phái Áo không công nhận những phân tích về “tối ưu hóa”, họ bị các nhà KTHTCĐ chính thống coi là những người bảo vệ cho các lý lẽ đã thất bại hoặc bị coi là kẻ ngớ ngẩn, nhà phê bình sai lạc và nhà khoa học lập dị. Tình trạng của các nhà kinh tế học không thuộc trường phái tân cổ điển tại các khoa kinh tế ở các trường đại học nói tiếng Anh cũng tương tự như tình trạng của những người tin rằng quả đất dẹt sống trong khoa địa lý (nơi ai cũng biết trái đất hình tròn). Nên để được an toàn, những ý kiến “trái chiều” trên chỉ nên được phát biểu sau khi họ được bổ nhiệm trọn đời. </w:t>
      </w:r>
    </w:p>
    <w:p w:rsidR="008E1EE4" w:rsidRDefault="008E1EE4" w:rsidP="008E1EE4">
      <w:pPr>
        <w:spacing w:before="120" w:after="120" w:line="312" w:lineRule="auto"/>
        <w:ind w:firstLine="709"/>
        <w:jc w:val="both"/>
        <w:rPr>
          <w:sz w:val="26"/>
          <w:szCs w:val="26"/>
        </w:rPr>
      </w:pPr>
      <w:r>
        <w:rPr>
          <w:sz w:val="26"/>
          <w:szCs w:val="26"/>
        </w:rPr>
        <w:t xml:space="preserve">Nhà kinh tế học người Anh Joan Robinson và các đồng nghiệp, sinh viên của bà tại Cambridge đã cố gắng làm mất uy tín của KTHTCĐ vào những năm cuối thập niên 50 và đầu những năm 60 của thế kỷ XX. Cuộc tranh cãi giữa hai Trường phái Cambridges tập trung vào những hàm ý và hạn chế trong các nghiên cứu của Paul Samuelson và Robert Solow về tổng thể "vốn" và coi tổng vốn như một yếu tố đầu vào trong hàm sản xuất. Tuy nhiên, tranh cãi này thực sự bắt nguồn từ sự xung độ trong tầm nhìn về các yếu tố cấu thành một lý thuyết "chấp nhận được" về phân phối thu nhập. Quan điểm hậu Keynes cho rằng sự khác biệt về quyền lực giữa công nhân và nhà tư bản sẽ là phương pháp giải thích “tốt nhất” cho các vấn đề phân phối thu nhập, trong khi quan điểm của tân cổ điển trong việc giải thích vấn đề này được phát triển từ lý thuyết thị trường về giá các nhân tố. Cuối cùng, cuộc tranh cãi đã không được giải quyết triệt để vì KTHTCĐ đã trở thành trường phái kinh tế học chính thống. </w:t>
      </w:r>
    </w:p>
    <w:p w:rsidR="008E1EE4" w:rsidRDefault="008E1EE4" w:rsidP="008E1EE4">
      <w:pPr>
        <w:spacing w:before="120" w:after="120" w:line="312" w:lineRule="auto"/>
        <w:ind w:firstLine="709"/>
        <w:jc w:val="both"/>
        <w:rPr>
          <w:sz w:val="26"/>
          <w:szCs w:val="26"/>
        </w:rPr>
      </w:pPr>
      <w:r>
        <w:rPr>
          <w:sz w:val="26"/>
          <w:szCs w:val="26"/>
        </w:rPr>
        <w:lastRenderedPageBreak/>
        <w:t xml:space="preserve">Tại sao trường phái chính thống này lại trở nên thịnh hành như thế? Nói tóm lại, sự thành công của KTHTCĐ có liên quan đến quá trình "khoa học hóa" hay "toán học hóa" kinh tế học trong thế kỷ XX. Cần nhận ra một điều quan trọng rằng một số nhà kinh tế học thuộc chủ nghĩa Cận biên ban đầu như William Stanley Jevons và F. Y. Edgeworth ở Anh, Leon Walras ở Lausanne, và IrvingFisher ở Hoa Kỳ đã từng muốn chính thống hoá kinh tế học giữa các ngành khoa học uyên thâm khác do thời kỳ đó các nhà kinh tế đang rất lạc quan về tương lai với sự thành công của công nghệ. Sự tiến bộ sẽ chỉ được đảm bảo trong một xã hội mà tại đó sử dụng những tri thức khoa học ưu việt nhất. Các mục tiêu xã hội sẽ đạt được nếu những nguyên tắc khoa học có thể tổ chức chương trình nghị sự xã hội. Chủ nghĩa xã hội khoa học và quản lý khoa học là các cụm từ dễ dàng tuôn ra dưới ngòi bút của các nhà tư tưởng xã hội. </w:t>
      </w:r>
    </w:p>
    <w:p w:rsidR="008E1EE4" w:rsidRDefault="008E1EE4" w:rsidP="008E1EE4">
      <w:pPr>
        <w:spacing w:before="120" w:after="120" w:line="312" w:lineRule="auto"/>
        <w:ind w:firstLine="709"/>
        <w:jc w:val="both"/>
        <w:rPr>
          <w:sz w:val="26"/>
          <w:szCs w:val="26"/>
        </w:rPr>
      </w:pPr>
      <w:r>
        <w:rPr>
          <w:sz w:val="26"/>
          <w:szCs w:val="26"/>
        </w:rPr>
        <w:t xml:space="preserve">KTHTCĐ đã khái niệm hoá các tác nhân, hộ gia đình và doanh nghiệp, là những người có lý trí. Các tác nhân đã được mô hình hoá như những người tối ưu hoá và điều này dẫn tới các kết quả "tốt hơn". Điểm cân bằng là kết quả "tốt nhất". Bất kỳ sự phân bổ nào khác của hàng hoá và dịch vụ cũng sẽ khiến một ai đó tồi tệ hơn. Do đó, hệ thống xã hội trong tầm nhìn của KTHTCĐ không tồn tại xung đột không thể giải quyết. Thuật ngữ "hệ thống xã hội" là thước đo sự thành công của nền KTHTCĐ, vì ý tưởng về một hệ thống, với các thành phần tương tác, các biến số và các tham số và ràng buộc của nó, là ngôn ngữ của vật lý giữa thế kỷ XIX. Lĩnh vực cơ học duy lý này là mô hình cho khung khổ tân cổ điển. Các tác nhân giống như các nguyên tử; độ thỏa dụng giống như năng lượng; tối đa hóa độ thỏa dụng giống như sự giảm thiểu năng lượng tiềm năng, …. Bằng cách dùng tu từ này, ngành khoa học vật lý đã được kết nối với lý thuyết tân cổ điển. Cũng theo cách này, kinh tế học đã trở nên liên kết với chính các ngành khoa học. Cho dù mối liên kết này đã được lên kế hoạch bởi các nhà Cận biên vào thời kỳ đầu hay mối liên kết này chỉ là một đặc trưng của sự thành công trước công chúng của khoa học, thì một điều quan trọng hơn cả là hàm ý của mối liên kết đó. Vì KTHTCĐ đã từng liên kết với kinh tế học khoa học, nên việc thách thức cách tiếp cận tân cổ điển cũng giống như đang thách thức khoa học, tiến bộ và hiện đại. </w:t>
      </w:r>
    </w:p>
    <w:p w:rsidR="008E1EE4" w:rsidRDefault="008E1EE4" w:rsidP="008E1EE4">
      <w:pPr>
        <w:spacing w:before="120" w:after="120" w:line="312" w:lineRule="auto"/>
        <w:ind w:firstLine="709"/>
        <w:jc w:val="both"/>
        <w:rPr>
          <w:sz w:val="26"/>
          <w:szCs w:val="26"/>
        </w:rPr>
      </w:pPr>
      <w:r>
        <w:rPr>
          <w:sz w:val="26"/>
          <w:szCs w:val="26"/>
        </w:rPr>
        <w:t xml:space="preserve">Giá trị của KTHTCĐ có thể được đánh giá bởi những sự thật mà trường phái này đang giải thích. Những chân lý về sự khuyến khích - về giá cả và thông tin, về sự tương quan lẫn nhau của các quyết định và hậu quả không mong đợi của các lựa chọn - đều được phát triển đúng đắn trong các lý thuyết tân cổ điển, vì lý thuyết này luôn tự ý thức về việc </w:t>
      </w:r>
      <w:r>
        <w:rPr>
          <w:sz w:val="26"/>
          <w:szCs w:val="26"/>
        </w:rPr>
        <w:lastRenderedPageBreak/>
        <w:t xml:space="preserve">sử dụng bằng chứng. Ví dụ, trong việc lập kế hoạch cho nhu cầu điện trong tương lai ở một tiểu bang nhất định, Ủy ban Tiện ích Công cộng của bang đã xây dựng một dự báo về nhu cầu (tân cổ điển), kết hợp với phân tích chi phí (tân cổ điển) của các thiết bị phát điện có kích cỡ và chủng loại khác nhau (ví dụ một nhà máy than có hàm lượng lưu huỳnh thấp 800 megawatt), và xây dựng một kế hoạch phát triển, trong đó chi phí hệ thống ở mức thấp nhất và một chiến lược giá mới (tân cổ điển) để thực hiện kế hoạch đó. Các tác nhân ở tất cả những chiều cạnh của một vấn đề, từ ngành công nghiệp đến đô thị, từ những công ty điện đến nhiều nhóm môi </w:t>
      </w:r>
      <w:proofErr w:type="gramStart"/>
      <w:r>
        <w:rPr>
          <w:sz w:val="26"/>
          <w:szCs w:val="26"/>
        </w:rPr>
        <w:t>trường  khác</w:t>
      </w:r>
      <w:proofErr w:type="gramEnd"/>
      <w:r>
        <w:rPr>
          <w:sz w:val="26"/>
          <w:szCs w:val="26"/>
        </w:rPr>
        <w:t xml:space="preserve"> nhau, tất cả đều nói cùng một ngôn ngữ về độ co giãn của cầu và giảm thiểu chi phí, về chi phí cận biên và tỷ suất lợi nhuận. Các quy tắc về phát triển lý thuyết và đánh giá khá rõ ràng trong KTHTCĐ và sự rõ ràng này rất có lợi cho cộng đồng các nhà kinh tế. Do đó, theo quan điểm trên, tính khoa học chính là sức mạnh của KTHTCĐ.</w:t>
      </w:r>
    </w:p>
    <w:p w:rsidR="008E1EE4" w:rsidRDefault="008E1EE4" w:rsidP="008E1EE4">
      <w:pPr>
        <w:spacing w:before="120" w:after="120" w:line="312" w:lineRule="auto"/>
        <w:jc w:val="right"/>
        <w:rPr>
          <w:b/>
          <w:iCs/>
          <w:sz w:val="24"/>
        </w:rPr>
      </w:pPr>
      <w:r>
        <w:rPr>
          <w:b/>
          <w:iCs/>
          <w:sz w:val="24"/>
        </w:rPr>
        <w:t xml:space="preserve">NGUYỄN XUÂN DŨNG     </w:t>
      </w:r>
    </w:p>
    <w:p w:rsidR="008E1EE4" w:rsidRDefault="008E1EE4" w:rsidP="008E1EE4">
      <w:pPr>
        <w:spacing w:before="120" w:after="120" w:line="312" w:lineRule="auto"/>
        <w:ind w:firstLine="709"/>
        <w:jc w:val="both"/>
        <w:rPr>
          <w:b/>
          <w:sz w:val="26"/>
          <w:szCs w:val="26"/>
        </w:rPr>
      </w:pPr>
      <w:r>
        <w:rPr>
          <w:b/>
          <w:sz w:val="26"/>
          <w:szCs w:val="26"/>
        </w:rPr>
        <w:t>Tài liệu tham khảo:</w:t>
      </w:r>
    </w:p>
    <w:p w:rsidR="008E1EE4" w:rsidRDefault="008E1EE4" w:rsidP="008E1EE4">
      <w:pPr>
        <w:spacing w:before="120" w:after="120" w:line="312" w:lineRule="auto"/>
        <w:ind w:firstLine="709"/>
        <w:jc w:val="both"/>
        <w:rPr>
          <w:sz w:val="26"/>
          <w:szCs w:val="26"/>
        </w:rPr>
      </w:pPr>
      <w:r>
        <w:rPr>
          <w:sz w:val="26"/>
          <w:szCs w:val="26"/>
        </w:rPr>
        <w:t>Weintraub E. Roy (2007), “Neoclassical Economics”, The Concise Encyclopedia of Economics: Articles by Title: Library of Economics and Liberty, [http://www.econlib.org/library/Enc1/NeoclassicalEconomics.html, truy cập lúc 10h44 am, ngày 21/3/2018)/ Người dịch: Trần Thị Mai Thành.</w:t>
      </w:r>
    </w:p>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E4"/>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47116B"/>
    <w:rsid w:val="006C40B0"/>
    <w:rsid w:val="00776528"/>
    <w:rsid w:val="00816F1D"/>
    <w:rsid w:val="008E1EE4"/>
    <w:rsid w:val="00995A87"/>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646FB-7AFA-4780-BEA6-62300B22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E4"/>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8E1EE4"/>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E1EE4"/>
    <w:rPr>
      <w:rFonts w:ascii="Times New Roman" w:eastAsia="Times New Roman" w:hAnsi="Times New Roman" w:cs="Arial"/>
      <w:b/>
      <w:kern w:val="28"/>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9702</Characters>
  <Application>Microsoft Office Word</Application>
  <DocSecurity>0</DocSecurity>
  <Lines>80</Lines>
  <Paragraphs>22</Paragraphs>
  <ScaleCrop>false</ScaleCrop>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2025-12-27T10:10:00Z</dcterms:created>
  <dcterms:modified xsi:type="dcterms:W3CDTF">2025-12-27T10:10:00Z</dcterms:modified>
</cp:coreProperties>
</file>